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33 vom 14. Juni 2021</w:t>
      </w:r>
    </w:p>
    <w:p>
      <w:r>
        <w:t>NW Gerichte, 2021-06-14, DE</w:t>
      </w:r>
    </w:p>
    <w:p>
      <w:r>
        <w:rPr>
          <w:b/>
        </w:rPr>
        <w:t xml:space="preserve">Quelle: </w:t>
      </w:r>
      <w:r>
        <w:t>https://mcp.opencaselaw.ch/entscheid/nw_gerichte_SV 20 33</w:t>
      </w:r>
    </w:p>
    <w:p>
      <w:r>
        <w:t>FR: NW_GERICHTE SV 20 33 du 14 juin 2021</w:t>
      </w:r>
    </w:p>
    <w:p>
      <w:r>
        <w:t>IT: NW_GERICHTE SV 20 33 del 14 giugno 2021</w:t>
      </w:r>
    </w:p>
    <w:p>
      <w:pPr>
        <w:pStyle w:val="Heading2"/>
      </w:pPr>
      <w:r>
        <w:t>Erwägungen</w:t>
      </w:r>
    </w:p>
    <w:p>
      <w:r>
        <w:rPr>
          <w:b/>
        </w:rPr>
        <w:t>E. 1</w:t>
      </w:r>
    </w:p>
    <w:p>
      <w:r>
        <w:t>Anfechtungsobjekt der vorliegenden Beschwerde bildet der Einspracheentscheid 20 30 der ALK vom 1. Februar 2021, mit dem die leistungsabweisende Verfügung Nr. 20376 vom 13. Juli 2020 betreffend Anspruch auf Taggelder der Arbeitslosenversicherung bestätigt wurde. Gegen Einspracheentscheide eines Sozialversicherungsträgers kann Beschwerde beim kantonalen Versicherungsgericht erhoben werden (Art. 56 und 57 ATSG [SR 830.1] i.V.m. § 10 EV AVIG [NG 744.1]). Örtlich zuständig ist das Versicherungsgericht desjenigen Kantons, in dem der Versicherte oder der beschwerdeführende Dritte Wohnsitz hat (Art. 58 Abs. 1 ATSG i.V.m. § 10 EV AVIG). Der Beschwerdeführer hat im Zeitpunkt der Beschwerdeerhebung Wohnsitz im Kanton Nidwalden, womit das Verwaltungsgericht des Kantons Nidwalden örtlich zuständig ist. Sachlich zuständig ist die Sozialversicherungsabteilung, die in Dreierbesetzung entschei- det (Art. 39 und Art. 33 Ziff. 2 GerG [NG 261.1]). Der Beschwerdeführer ist durch den ange- fochtenen Entscheid berührt und hat ein schutzwürdiges Interesse an dessen Aufhebung oder Änderung, sodass er im Sinne von Art. 59 ATSG beschwerdelegitimiert ist. Die Beschwerde</w:t>
      </w:r>
    </w:p>
    <w:p>
      <w:r>
        <w:t>4│7 wurde form- und fristgerecht erhoben (Art. 60 und 61 ATSG), womit auf die Beschwerde ein- zutreten ist.</w:t>
      </w:r>
    </w:p>
    <w:p>
      <w:r>
        <w:rPr>
          <w:b/>
        </w:rPr>
        <w:t>E. 2</w:t>
      </w:r>
    </w:p>
    <w:p>
      <w:r>
        <w:t>Strittig ist, ob die Arbeitslosenkasse zu Recht davon ausgeht, dass die Anspruchsvorausset- zungen erst mit der am 26. Mai 2020 erfolgten Anmeldung vorlagen.</w:t>
      </w:r>
    </w:p>
    <w:p>
      <w:r>
        <w:rPr>
          <w:b/>
        </w:rPr>
        <w:t>E. 3</w:t>
      </w:r>
    </w:p>
    <w:p>
      <w:r>
        <w:t>Gemäss Art. 8 Abs. 1 AVIG hat die versicherte Person Anspruch auf Arbeitslosenentschädi- 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 hig ist (lit. f) und die Kontrollvorschriften des Art. 17 AVIG erfüllt (lit. g). Nach Art. 17 Abs. 2 AVIG muss sich die versicherte Person möglichst frühzeitig, spätestens jedoch am ersten Tag, für den sie Arbeitslosenentschädigung beansprucht, persönlich bei der vom Kanton bestimmten zuständigen Amtsstelle zur Arbeitsvermittlung melden und von da an die Kontrollvorschriften des Bundesrates befolgen.</w:t>
      </w:r>
    </w:p>
    <w:p>
      <w:r>
        <w:rPr>
          <w:b/>
        </w:rPr>
        <w:t>E. 4.1</w:t>
      </w:r>
    </w:p>
    <w:p>
      <w:r>
        <w:t>Der Beschwerdeführer argumentiert vielfältig und widersprüchlich. Zunächst macht er geltend, mit dem negativen Entscheid der ALK unter striktem Lockdown würden die Vorgaben des Bun- desrates unter Notrecht, «wir bleiben zu Hause», und der prioritäre Schutz von Leib und Leben sowie die Aufrechterhaltung der Taggeldzahlungen geradezu desavouiert, sowie der klare Wortlaut von Art. 17 AVIG («persönliche» Anmeldung) ausgehebelt. Nach bestätigter Lehre und Rechtsprechung gehe Notrecht vor, was aber nicht dazu führen könne, dass klare Ge- setze willkürlich entgegen dem klaren Wortlaut ausgelegt werden dürften. Der Entscheid der ALK bedeute eine Verletzung der Hierarchie der geschützten Rechtsgüter mit dem Schutz von Leib und Leben an erster Stelle. Der Beschwerdeführer sei unbestrittenermassen seit dem 3. April 2020 bei der Einwohnergemeinde Y.__ OW angemeldet gewesen. Die Anmeldung für die ALK sei gleichzeitig erfolgt.</w:t>
      </w:r>
    </w:p>
    <w:p>
      <w:r>
        <w:t>5│7</w:t>
      </w:r>
    </w:p>
    <w:p>
      <w:r>
        <w:rPr>
          <w:b/>
        </w:rPr>
        <w:t>E. 4.2.1</w:t>
      </w:r>
    </w:p>
    <w:p>
      <w:r>
        <w:t>Am 13. März 2020 erliess der Bundesrat gestützt auf Art. 7 des Epidemiengesetzes die Ver- ordnung 2 über die Massnahmen zur Bekämpfung des Coronavirus (COVID-19-Verord- nung 2). Er verbot die Durchführung von öffentlichen oder privaten Veranstaltungen (Art. 6 Abs. 1 COVID-19-Verordnung 2). Öffentlich zugängliche Einrichtungen wurden weitgehend geschlossen (Art. 6 Abs. 2 COVID-19-Verordnung 2). Davon ausgeschlossen waren Lebens- mittelläden und sonstige Läden, soweit sie Lebensmittel oder Gegenstände für den täglichen Bedarf anbieten (Art. 6 Abs. 3 lit. a COVID-19-Verordnung 2), Imbiss-Betriebe, Betriebskanti- nen, Mahlzeitenlieferdienste (lit. b), Apotheken, Drogerien und Läden für medizinische Hilfs- mittel (lit. c), Poststellen (lit. d), Verkaufsstellen von Telekommunikationsanbietern (lit. e), Ban- ken (lit. f), Tankstellen (lit. g), Bahnhöfe und andere Einrichtungen des öffentlichen Verkehrs (lit. h), Werkstätten für Transportmittel (lit. i), öffentliche Verwaltungen (lit. j), soziale Einrich- tungen (lit. k), Beerdigungen im engen Familienkreis (lit. l), Gesundheitseinrichtungen (lit. m) und Hotels (lit. n). Diese Einrichtungen – wozu öffentliche Verwaltungen zählen (Art. 6 Abs. 3 lit. j COVID-19-Verordnung 2) – wurden jedoch verpflichtet, die Empfehlungen des Bundes- amtes für Gesundheit betreffend Hygiene und sozialer Distanz einzuhalten (Abs. 4).</w:t>
      </w:r>
    </w:p>
    <w:p>
      <w:r>
        <w:rPr>
          <w:b/>
        </w:rPr>
        <w:t>E. 4.2.2</w:t>
      </w:r>
    </w:p>
    <w:p>
      <w:r>
        <w:t>Anders als vom Beschwerdeführer sinngemäss behauptet, hat der Bundesrat weder das öf- fentliche und wirtschaftliche Leben vollständig heruntergefahren noch eine Ausgangssperre verhängt. Die dazumal für die Anmeldung des Beschwerdeführers zuständige Gemeindever- waltung Y.__ OW bestätigte, dass ihre Schalter während des Lockdowns offen und damit per- sönliche Anmeldungen möglich waren (BG-Bel. 13, ALK-act. 15). Offenkundig hat sich der Beschwerdeführer weder telefonisch noch per Mail bei der Wohngemeinde oder der Arbeits- losenkasse informiert (ALK-act. 27). Dies wäre indes trotz Selbstquarantäne und einer Knie- verletzung mit attestierter Arbeitsunfähigkeit möglich und zumutbar gewesen. Dass er im Hotel nicht über entsprechende Möglichkeiten verfügte, macht der Beschwerdeführer nicht geltend. Dies wäre auch wenig überzeugend, gab er doch an, dass er nach der Rückkehr mit der Ab- wicklung von sehr viel elektronischer Administration für die OSZE und das EDA absorbiert gewesen sei (Beschwerde S. 3). Insofern geht die Behauptung, eine persönliche Anmeldung sei wegen der Lockdown-Vorschriften nicht möglich gewesen, ins Leere. Nachdem keine Aus- legung des Gesetzeswortlautes von Art. 17 AVIG notwendig war, greift auch die Willkürrüge nicht.</w:t>
      </w:r>
    </w:p>
    <w:p>
      <w:r>
        <w:t>6│7 Auch das Argument, der Beschwerdeführer habe seinen hochbetagten Vater schützten wollen, erweist sich als unbehelflich. Die Sorge des Beschwerdeführers um die Gesundheit seines hochbetagten Vaters ist angesichts der damaligen Medienberichterstattungen nachvollzieh- bar. Allerdings hat er sich in der Lockdown-Phase auf den Notfall des Kantonsspitals Obwal- den begeben und seinen Hausarzt in Y.__ OW aufsuchen können (ALK-act. 111–116, insb. 115–116, Beschwerde S.4 Ziff. 2). Es ist deshalb nicht nachvollziehbar, weshalb er nicht bei der Gemeindeverwaltung vorsprechen konnte, obwohl diese, wie die Gesundheitseinrichtun- gen, ein strenges Schutzkonzept einzuhalten hatten (vgl. E. 4.2.1).</w:t>
      </w:r>
    </w:p>
    <w:p>
      <w:r>
        <w:rPr>
          <w:b/>
        </w:rPr>
        <w:t>E. 4.3</w:t>
      </w:r>
    </w:p>
    <w:p>
      <w:r>
        <w:t>Der Beschwerdeführer macht weiter geltend, er habe sich nach Treu und Glauben auf eine Verlängerung seines Arbeitsvertrags verlassen dürfen. Die Mission in Z.__ gehe weiter und es sei massiv neues Personal gesucht worden. Er habe sich aber erfolglos beworben. Dass der Beschwerdeführer auf eine Fortführung des Arbeitsverhältnisses hoffte, ist verständ- lich. Allerdings waren die entsprechenden Mitteilungen des EDA unmissverständlich (ALK- act. 1, 2 und 47). Eine verspätete Anmeldung lässt sich damit weder erklären noch rechtferti- gen. Überdies sind die Gründe für die Arbeitslosigkeit für die vorliegend zu beurteilende Frage irrelevant.</w:t>
      </w:r>
    </w:p>
    <w:p>
      <w:r>
        <w:rPr>
          <w:b/>
        </w:rPr>
        <w:t>E. 4.4</w:t>
      </w:r>
    </w:p>
    <w:p>
      <w:r>
        <w:t>Insgesamt ergeben sich aus den Akten keine Hinweise, dass die Anmeldung bei der Gemein- deverwaltung Y.__ OW vor dem 26. Mai 2020 erfolgt ist. Die Beschwerde erweist sich als unbegründet und ist abzuweisen.</w:t>
      </w:r>
    </w:p>
    <w:p>
      <w:r>
        <w:rPr>
          <w:b/>
        </w:rPr>
        <w:t>E. 5</w:t>
      </w:r>
    </w:p>
    <w:p>
      <w:r>
        <w:t>Es werden keine Gerichtskosten erhoben (§ 10 EV AVIG i.V.m. Art. 61 lit. a ATSG; Art. 13 SRG [NG 264.1] i.V.m. Art. 18 PKoG [NG 261.2]). Es werden keine Parteientschädigungen gesprochen (Art. 61 lit. g ATSG e contrario).</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